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F1EFD" w14:textId="77777777" w:rsidR="0006210F" w:rsidRPr="0006210F" w:rsidRDefault="0006210F" w:rsidP="0006210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06210F">
        <w:rPr>
          <w:rFonts w:ascii="Lato" w:eastAsia="Times New Roman" w:hAnsi="Lato" w:cs="Times New Roman"/>
          <w:color w:val="CC3300"/>
          <w:kern w:val="36"/>
          <w:sz w:val="36"/>
          <w:szCs w:val="36"/>
          <w:lang w:eastAsia="fr-BE"/>
          <w14:ligatures w14:val="none"/>
        </w:rPr>
        <w:t>Le cuivre trébuche</w:t>
      </w:r>
    </w:p>
    <w:p w14:paraId="58207ED4" w14:textId="77777777" w:rsidR="0006210F" w:rsidRDefault="0006210F" w:rsidP="0006210F">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C2EF9D5" w14:textId="51DE4C43" w:rsidR="0006210F" w:rsidRPr="0006210F" w:rsidRDefault="0006210F" w:rsidP="0006210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6210F">
        <w:rPr>
          <w:rFonts w:ascii="Lato" w:eastAsia="Times New Roman" w:hAnsi="Lato" w:cs="Times New Roman"/>
          <w:color w:val="000000"/>
          <w:kern w:val="0"/>
          <w:sz w:val="23"/>
          <w:szCs w:val="23"/>
          <w:lang w:eastAsia="fr-BE"/>
          <w14:ligatures w14:val="none"/>
        </w:rPr>
        <w:t> Le </w:t>
      </w:r>
      <w:r w:rsidRPr="0006210F">
        <w:rPr>
          <w:rFonts w:ascii="Lato" w:eastAsia="Times New Roman" w:hAnsi="Lato" w:cs="Times New Roman"/>
          <w:color w:val="000000"/>
          <w:kern w:val="0"/>
          <w:sz w:val="23"/>
          <w:szCs w:val="23"/>
          <w:u w:val="single"/>
          <w:lang w:eastAsia="fr-BE"/>
          <w14:ligatures w14:val="none"/>
        </w:rPr>
        <w:t>cuivre</w:t>
      </w:r>
      <w:r w:rsidRPr="0006210F">
        <w:rPr>
          <w:rFonts w:ascii="Lato" w:eastAsia="Times New Roman" w:hAnsi="Lato" w:cs="Times New Roman"/>
          <w:color w:val="000000"/>
          <w:kern w:val="0"/>
          <w:sz w:val="23"/>
          <w:szCs w:val="23"/>
          <w:lang w:eastAsia="fr-BE"/>
          <w14:ligatures w14:val="none"/>
        </w:rPr>
        <w:t> a de nouveau battu en retraite au cours de la matinée, alors que la faiblesse de la demande chinoise fait craindre aux acteurs du marché que la flambée récente des cours soit davantage spéculative que dictée par les fondamentaux.</w:t>
      </w:r>
    </w:p>
    <w:p w14:paraId="21333413" w14:textId="77777777" w:rsidR="0006210F" w:rsidRPr="0006210F" w:rsidRDefault="0006210F" w:rsidP="0006210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6210F">
        <w:rPr>
          <w:rFonts w:ascii="Lato" w:eastAsia="Times New Roman" w:hAnsi="Lato" w:cs="Times New Roman"/>
          <w:color w:val="000000"/>
          <w:kern w:val="0"/>
          <w:sz w:val="23"/>
          <w:szCs w:val="23"/>
          <w:lang w:eastAsia="fr-BE"/>
          <w14:ligatures w14:val="none"/>
        </w:rPr>
        <w:t>A Londres, le </w:t>
      </w:r>
      <w:r w:rsidRPr="0006210F">
        <w:rPr>
          <w:rFonts w:ascii="Lato" w:eastAsia="Times New Roman" w:hAnsi="Lato" w:cs="Times New Roman"/>
          <w:color w:val="000000"/>
          <w:kern w:val="0"/>
          <w:sz w:val="23"/>
          <w:szCs w:val="23"/>
          <w:u w:val="single"/>
          <w:lang w:eastAsia="fr-BE"/>
          <w14:ligatures w14:val="none"/>
        </w:rPr>
        <w:t>cuivre</w:t>
      </w:r>
      <w:r w:rsidRPr="0006210F">
        <w:rPr>
          <w:rFonts w:ascii="Lato" w:eastAsia="Times New Roman" w:hAnsi="Lato" w:cs="Times New Roman"/>
          <w:color w:val="000000"/>
          <w:kern w:val="0"/>
          <w:sz w:val="23"/>
          <w:szCs w:val="23"/>
          <w:lang w:eastAsia="fr-BE"/>
          <w14:ligatures w14:val="none"/>
        </w:rPr>
        <w:t> a cédé pas loin de 1% depuis l’ouverture, s’éloignant du sommet de 10.208 $/tonne touché mardi. « </w:t>
      </w:r>
      <w:r w:rsidRPr="0006210F">
        <w:rPr>
          <w:rFonts w:ascii="Lato" w:eastAsia="Times New Roman" w:hAnsi="Lato" w:cs="Times New Roman"/>
          <w:i/>
          <w:iCs/>
          <w:color w:val="000000"/>
          <w:kern w:val="0"/>
          <w:sz w:val="23"/>
          <w:szCs w:val="23"/>
          <w:lang w:eastAsia="fr-BE"/>
          <w14:ligatures w14:val="none"/>
        </w:rPr>
        <w:t>On peut se demander si nous ne sommes pas sortis des starting-blocks trop tôt </w:t>
      </w:r>
      <w:r w:rsidRPr="0006210F">
        <w:rPr>
          <w:rFonts w:ascii="Lato" w:eastAsia="Times New Roman" w:hAnsi="Lato" w:cs="Times New Roman"/>
          <w:color w:val="000000"/>
          <w:kern w:val="0"/>
          <w:sz w:val="23"/>
          <w:szCs w:val="23"/>
          <w:lang w:eastAsia="fr-BE"/>
          <w14:ligatures w14:val="none"/>
        </w:rPr>
        <w:t>», ironise Ole Hansen, analyste chez Saxo Bank. « </w:t>
      </w:r>
      <w:r w:rsidRPr="0006210F">
        <w:rPr>
          <w:rFonts w:ascii="Lato" w:eastAsia="Times New Roman" w:hAnsi="Lato" w:cs="Times New Roman"/>
          <w:i/>
          <w:iCs/>
          <w:color w:val="000000"/>
          <w:kern w:val="0"/>
          <w:sz w:val="23"/>
          <w:szCs w:val="23"/>
          <w:lang w:eastAsia="fr-BE"/>
          <w14:ligatures w14:val="none"/>
        </w:rPr>
        <w:t>Je me range du côté des neutres. Les perspectives à long terme sont bonnes, mais, au vu de la demande actuelle, nous pourrions assister à une consolidation, voire une correction </w:t>
      </w:r>
      <w:r w:rsidRPr="0006210F">
        <w:rPr>
          <w:rFonts w:ascii="Lato" w:eastAsia="Times New Roman" w:hAnsi="Lato" w:cs="Times New Roman"/>
          <w:color w:val="000000"/>
          <w:kern w:val="0"/>
          <w:sz w:val="23"/>
          <w:szCs w:val="23"/>
          <w:lang w:eastAsia="fr-BE"/>
          <w14:ligatures w14:val="none"/>
        </w:rPr>
        <w:t>», indique l’analyste, avant de rappeler que la prime Yangshan, qui illustre la demande chinoise en cuivre importé, oscille autour de 5 $/tonne.</w:t>
      </w:r>
    </w:p>
    <w:p w14:paraId="4461929F" w14:textId="77777777" w:rsidR="0006210F" w:rsidRPr="0006210F" w:rsidRDefault="0006210F" w:rsidP="0006210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6210F">
        <w:rPr>
          <w:rFonts w:ascii="Lato" w:eastAsia="Times New Roman" w:hAnsi="Lato" w:cs="Times New Roman"/>
          <w:color w:val="000000"/>
          <w:kern w:val="0"/>
          <w:sz w:val="23"/>
          <w:szCs w:val="23"/>
          <w:lang w:eastAsia="fr-BE"/>
          <w14:ligatures w14:val="none"/>
        </w:rPr>
        <w:t>D’après lui, un reflux des cours aurait un effet boule de neige, et pousserait les fonds spéculatifs à vendre. « </w:t>
      </w:r>
      <w:r w:rsidRPr="0006210F">
        <w:rPr>
          <w:rFonts w:ascii="Lato" w:eastAsia="Times New Roman" w:hAnsi="Lato" w:cs="Times New Roman"/>
          <w:i/>
          <w:iCs/>
          <w:color w:val="000000"/>
          <w:kern w:val="0"/>
          <w:sz w:val="23"/>
          <w:szCs w:val="23"/>
          <w:lang w:eastAsia="fr-BE"/>
          <w14:ligatures w14:val="none"/>
        </w:rPr>
        <w:t>La grande question est de savoir si nous allons revenir au niveau où les fonds, qui ont acheté massivement récemment, deviennent nerveux </w:t>
      </w:r>
      <w:r w:rsidRPr="0006210F">
        <w:rPr>
          <w:rFonts w:ascii="Lato" w:eastAsia="Times New Roman" w:hAnsi="Lato" w:cs="Times New Roman"/>
          <w:color w:val="000000"/>
          <w:kern w:val="0"/>
          <w:sz w:val="23"/>
          <w:szCs w:val="23"/>
          <w:lang w:eastAsia="fr-BE"/>
          <w14:ligatures w14:val="none"/>
        </w:rPr>
        <w:t>», ajoute-t-il.</w:t>
      </w:r>
    </w:p>
    <w:p w14:paraId="6E42AFCE" w14:textId="77777777" w:rsidR="0006210F" w:rsidRPr="0006210F" w:rsidRDefault="0006210F" w:rsidP="0006210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6210F">
        <w:rPr>
          <w:rFonts w:ascii="Lato" w:eastAsia="Times New Roman" w:hAnsi="Lato" w:cs="Times New Roman"/>
          <w:color w:val="000000"/>
          <w:kern w:val="0"/>
          <w:sz w:val="23"/>
          <w:szCs w:val="23"/>
          <w:lang w:eastAsia="fr-BE"/>
          <w14:ligatures w14:val="none"/>
        </w:rPr>
        <w:t>La banque Citi reste quant à elle optimiste puisqu’elle estime que le </w:t>
      </w:r>
      <w:r w:rsidRPr="0006210F">
        <w:rPr>
          <w:rFonts w:ascii="Lato" w:eastAsia="Times New Roman" w:hAnsi="Lato" w:cs="Times New Roman"/>
          <w:color w:val="000000"/>
          <w:kern w:val="0"/>
          <w:sz w:val="23"/>
          <w:szCs w:val="23"/>
          <w:u w:val="single"/>
          <w:lang w:eastAsia="fr-BE"/>
          <w14:ligatures w14:val="none"/>
        </w:rPr>
        <w:t>cuivre</w:t>
      </w:r>
      <w:r w:rsidRPr="0006210F">
        <w:rPr>
          <w:rFonts w:ascii="Lato" w:eastAsia="Times New Roman" w:hAnsi="Lato" w:cs="Times New Roman"/>
          <w:color w:val="000000"/>
          <w:kern w:val="0"/>
          <w:sz w:val="23"/>
          <w:szCs w:val="23"/>
          <w:lang w:eastAsia="fr-BE"/>
          <w14:ligatures w14:val="none"/>
        </w:rPr>
        <w:t> devrait se propulser jusqu’à 10.500 $/tonne dans les prochaines semaines. Elle est d’avis que la demande à plus long terme des consommateurs devrait soutenir les cours si ces derniers se repliaient sous les 9.500 $/tonne</w:t>
      </w:r>
    </w:p>
    <w:p w14:paraId="021EB36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0F"/>
    <w:rsid w:val="0006210F"/>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B57"/>
  <w15:chartTrackingRefBased/>
  <w15:docId w15:val="{EC01CC31-399B-48E9-8B31-172A66A7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2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2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21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21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21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21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21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21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21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21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21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21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21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21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21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21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21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210F"/>
    <w:rPr>
      <w:rFonts w:eastAsiaTheme="majorEastAsia" w:cstheme="majorBidi"/>
      <w:color w:val="272727" w:themeColor="text1" w:themeTint="D8"/>
    </w:rPr>
  </w:style>
  <w:style w:type="paragraph" w:styleId="Titre">
    <w:name w:val="Title"/>
    <w:basedOn w:val="Normal"/>
    <w:next w:val="Normal"/>
    <w:link w:val="TitreCar"/>
    <w:uiPriority w:val="10"/>
    <w:qFormat/>
    <w:rsid w:val="00062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21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21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21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210F"/>
    <w:pPr>
      <w:spacing w:before="160"/>
      <w:jc w:val="center"/>
    </w:pPr>
    <w:rPr>
      <w:i/>
      <w:iCs/>
      <w:color w:val="404040" w:themeColor="text1" w:themeTint="BF"/>
    </w:rPr>
  </w:style>
  <w:style w:type="character" w:customStyle="1" w:styleId="CitationCar">
    <w:name w:val="Citation Car"/>
    <w:basedOn w:val="Policepardfaut"/>
    <w:link w:val="Citation"/>
    <w:uiPriority w:val="29"/>
    <w:rsid w:val="0006210F"/>
    <w:rPr>
      <w:i/>
      <w:iCs/>
      <w:color w:val="404040" w:themeColor="text1" w:themeTint="BF"/>
    </w:rPr>
  </w:style>
  <w:style w:type="paragraph" w:styleId="Paragraphedeliste">
    <w:name w:val="List Paragraph"/>
    <w:basedOn w:val="Normal"/>
    <w:uiPriority w:val="34"/>
    <w:qFormat/>
    <w:rsid w:val="0006210F"/>
    <w:pPr>
      <w:ind w:left="720"/>
      <w:contextualSpacing/>
    </w:pPr>
  </w:style>
  <w:style w:type="character" w:styleId="Accentuationintense">
    <w:name w:val="Intense Emphasis"/>
    <w:basedOn w:val="Policepardfaut"/>
    <w:uiPriority w:val="21"/>
    <w:qFormat/>
    <w:rsid w:val="0006210F"/>
    <w:rPr>
      <w:i/>
      <w:iCs/>
      <w:color w:val="0F4761" w:themeColor="accent1" w:themeShade="BF"/>
    </w:rPr>
  </w:style>
  <w:style w:type="paragraph" w:styleId="Citationintense">
    <w:name w:val="Intense Quote"/>
    <w:basedOn w:val="Normal"/>
    <w:next w:val="Normal"/>
    <w:link w:val="CitationintenseCar"/>
    <w:uiPriority w:val="30"/>
    <w:qFormat/>
    <w:rsid w:val="00062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210F"/>
    <w:rPr>
      <w:i/>
      <w:iCs/>
      <w:color w:val="0F4761" w:themeColor="accent1" w:themeShade="BF"/>
    </w:rPr>
  </w:style>
  <w:style w:type="character" w:styleId="Rfrenceintense">
    <w:name w:val="Intense Reference"/>
    <w:basedOn w:val="Policepardfaut"/>
    <w:uiPriority w:val="32"/>
    <w:qFormat/>
    <w:rsid w:val="00062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1182</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2024-05-02T13:47:00Z</dcterms:created>
  <dcterms:modified xsi:type="dcterms:W3CDTF">2024-05-02T13:48:00Z</dcterms:modified>
</cp:coreProperties>
</file>